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8" w:lineRule="auto"/>
        <w:jc w:val="left"/>
        <w:textAlignment w:val="auto"/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/>
          <w:color w:val="auto"/>
          <w:sz w:val="32"/>
          <w:szCs w:val="24"/>
          <w:highlight w:val="none"/>
          <w:lang w:val="en-US" w:eastAsia="zh-CN"/>
        </w:rPr>
        <w:t>附件5</w:t>
      </w:r>
    </w:p>
    <w:tbl>
      <w:tblPr>
        <w:tblStyle w:val="2"/>
        <w:tblW w:w="15280" w:type="dxa"/>
        <w:tblInd w:w="-3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137"/>
        <w:gridCol w:w="730"/>
        <w:gridCol w:w="1118"/>
        <w:gridCol w:w="998"/>
        <w:gridCol w:w="1170"/>
        <w:gridCol w:w="1244"/>
        <w:gridCol w:w="1228"/>
        <w:gridCol w:w="1728"/>
        <w:gridCol w:w="1481"/>
        <w:gridCol w:w="1163"/>
        <w:gridCol w:w="1501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第十四届中青年教师讲课大赛参赛教师名单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专业技术职务等级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工号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身份证号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申报组别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参赛课程名称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参赛课程所属学科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教师所在院部</w:t>
            </w: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参与校赛等级（初赛/复赛/决赛）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情况（决赛）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528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本表包括校赛所有参赛教师信息（含未获校级奖参赛教师信息）。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2.若不够填写，请自行添加行数。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专业技术职务等级：正高、副高、中级及以下。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参赛课程所属学科：01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哲学、02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经济学、03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法学、04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教育学、05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文学、06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历史学、07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理学、08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工学、09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农学、10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医学、12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管理学、13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艺术学、14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－</w:t>
            </w: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交叉学科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6838" w:h="11906" w:orient="landscape"/>
      <w:pgMar w:top="1179" w:right="1440" w:bottom="117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CC337F7-669A-4D28-AF2C-E8961A91CD1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C302C08A-C3D0-4D19-B7CA-CAB9A6247EC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524E2C6-9C15-48FF-B684-6D6CDC5BD3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MjFhNjBjYmYwZDlhNTlkYjU1YTU0MmM0Yzk1ZWQifQ=="/>
  </w:docVars>
  <w:rsids>
    <w:rsidRoot w:val="50D305D8"/>
    <w:rsid w:val="50D305D8"/>
    <w:rsid w:val="6666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2024-03-18T08:12:00Z</dcterms:created>
  <dc:creator>哈哈哈哈哈</dc:creator>
  <cp:lastModifiedBy>哈哈哈哈哈</cp:lastModifiedBy>
  <dcterms:modified xsi:type="dcterms:W3CDTF">2024-03-18T08:26:07Z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273C1D0BDD354A8E9FA6FAF98B3AF39E_11</vt:lpwstr>
  </property>
</Properties>
</file>